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857C2" w14:textId="77777777" w:rsidR="004507BE" w:rsidRDefault="004507BE">
      <w:pPr>
        <w:rPr>
          <w:lang w:val="en-US"/>
        </w:rPr>
      </w:pPr>
      <w:bookmarkStart w:id="0" w:name="_GoBack"/>
      <w:bookmarkEnd w:id="0"/>
    </w:p>
    <w:p w14:paraId="08C8DF33" w14:textId="77777777" w:rsidR="004507BE" w:rsidRDefault="004507BE">
      <w:pPr>
        <w:rPr>
          <w:lang w:val="en-US"/>
        </w:rPr>
      </w:pPr>
    </w:p>
    <w:p w14:paraId="0BAF91F5" w14:textId="77777777" w:rsidR="004507BE" w:rsidRDefault="004507BE">
      <w:pPr>
        <w:rPr>
          <w:lang w:val="en-US"/>
        </w:rPr>
      </w:pPr>
    </w:p>
    <w:p w14:paraId="4E74DBAC" w14:textId="77777777" w:rsidR="004507BE" w:rsidRDefault="004507BE">
      <w:pPr>
        <w:rPr>
          <w:lang w:val="en-US"/>
        </w:rPr>
      </w:pPr>
    </w:p>
    <w:p w14:paraId="766A8AAD" w14:textId="77777777" w:rsidR="004507BE" w:rsidRDefault="004507BE">
      <w:pPr>
        <w:rPr>
          <w:lang w:val="en-US"/>
        </w:rPr>
      </w:pPr>
    </w:p>
    <w:p w14:paraId="57BDEDE6" w14:textId="77777777" w:rsidR="004507BE" w:rsidRDefault="004507BE">
      <w:pPr>
        <w:rPr>
          <w:lang w:val="en-US"/>
        </w:rPr>
      </w:pPr>
    </w:p>
    <w:p w14:paraId="71B2279E" w14:textId="77777777" w:rsidR="004507BE" w:rsidRDefault="004507BE">
      <w:pPr>
        <w:rPr>
          <w:lang w:val="en-US"/>
        </w:rPr>
      </w:pPr>
    </w:p>
    <w:p w14:paraId="4C54EEC3" w14:textId="77777777" w:rsidR="004507BE" w:rsidRDefault="004507BE">
      <w:pPr>
        <w:rPr>
          <w:lang w:val="en-US"/>
        </w:rPr>
      </w:pPr>
    </w:p>
    <w:p w14:paraId="6E82D5BB" w14:textId="77777777" w:rsidR="004507BE" w:rsidRDefault="004507BE">
      <w:pPr>
        <w:rPr>
          <w:lang w:val="en-US"/>
        </w:rPr>
      </w:pPr>
    </w:p>
    <w:p w14:paraId="5578CB3D" w14:textId="77777777" w:rsidR="004507BE" w:rsidRDefault="004507BE">
      <w:pPr>
        <w:rPr>
          <w:lang w:val="en-US"/>
        </w:rPr>
      </w:pPr>
    </w:p>
    <w:p w14:paraId="7609C86F" w14:textId="77777777" w:rsidR="004507BE" w:rsidRDefault="004507BE">
      <w:pPr>
        <w:rPr>
          <w:lang w:val="en-US"/>
        </w:rPr>
      </w:pPr>
    </w:p>
    <w:p w14:paraId="785E1956" w14:textId="77777777" w:rsidR="004507BE" w:rsidRDefault="004507BE">
      <w:pPr>
        <w:rPr>
          <w:lang w:val="en-US"/>
        </w:rPr>
      </w:pPr>
    </w:p>
    <w:p w14:paraId="6CDE7B8A" w14:textId="77777777" w:rsidR="004507BE" w:rsidRDefault="004507BE">
      <w:pPr>
        <w:rPr>
          <w:lang w:val="en-US"/>
        </w:rPr>
      </w:pPr>
    </w:p>
    <w:p w14:paraId="71D6558B" w14:textId="504A0884" w:rsidR="004507BE" w:rsidRDefault="00206AF1" w:rsidP="004507BE">
      <w:pPr>
        <w:jc w:val="center"/>
      </w:pPr>
      <w:r w:rsidRPr="004507BE">
        <w:t>Vic</w:t>
      </w:r>
      <w:r w:rsidRPr="004507BE">
        <w:rPr>
          <w:lang w:val="en-US"/>
        </w:rPr>
        <w:t>a</w:t>
      </w:r>
      <w:r w:rsidRPr="004507BE">
        <w:t>rious Tr</w:t>
      </w:r>
      <w:r w:rsidRPr="004507BE">
        <w:rPr>
          <w:lang w:val="en-US"/>
        </w:rPr>
        <w:t>a</w:t>
      </w:r>
      <w:r w:rsidRPr="004507BE">
        <w:t>um</w:t>
      </w:r>
      <w:r w:rsidRPr="004507BE">
        <w:rPr>
          <w:lang w:val="en-US"/>
        </w:rPr>
        <w:t>a</w:t>
      </w:r>
      <w:r w:rsidRPr="004507BE">
        <w:t xml:space="preserve"> Self-Assessment</w:t>
      </w:r>
    </w:p>
    <w:p w14:paraId="092A99A6" w14:textId="243B17B4" w:rsidR="004507BE" w:rsidRDefault="00206AF1" w:rsidP="004507BE">
      <w:pPr>
        <w:jc w:val="center"/>
        <w:rPr>
          <w:lang w:val="en-US"/>
        </w:rPr>
      </w:pPr>
      <w:r>
        <w:rPr>
          <w:lang w:val="en-US"/>
        </w:rPr>
        <w:t>Name</w:t>
      </w:r>
    </w:p>
    <w:p w14:paraId="29284381" w14:textId="185737A0" w:rsidR="004507BE" w:rsidRDefault="00206AF1" w:rsidP="004507BE">
      <w:pPr>
        <w:jc w:val="center"/>
        <w:rPr>
          <w:lang w:val="en-US"/>
        </w:rPr>
      </w:pPr>
      <w:r>
        <w:rPr>
          <w:lang w:val="en-US"/>
        </w:rPr>
        <w:t>Institution</w:t>
      </w:r>
    </w:p>
    <w:p w14:paraId="5DB97257" w14:textId="77777777" w:rsidR="004507BE" w:rsidRPr="004507BE" w:rsidRDefault="004507BE">
      <w:pPr>
        <w:rPr>
          <w:lang w:val="en-US"/>
        </w:rPr>
      </w:pPr>
    </w:p>
    <w:p w14:paraId="01B4AB3A" w14:textId="64FDA5FA" w:rsidR="004507BE" w:rsidRDefault="004507BE">
      <w:pPr>
        <w:rPr>
          <w:lang w:val="en-US"/>
        </w:rPr>
      </w:pPr>
    </w:p>
    <w:p w14:paraId="71D55224" w14:textId="1FBD259E" w:rsidR="004507BE" w:rsidRDefault="004507BE">
      <w:pPr>
        <w:rPr>
          <w:lang w:val="en-US"/>
        </w:rPr>
      </w:pPr>
    </w:p>
    <w:p w14:paraId="3658DFA9" w14:textId="0A893841" w:rsidR="004507BE" w:rsidRDefault="004507BE">
      <w:pPr>
        <w:rPr>
          <w:lang w:val="en-US"/>
        </w:rPr>
      </w:pPr>
    </w:p>
    <w:p w14:paraId="4D3FD1A1" w14:textId="2459FA49" w:rsidR="004507BE" w:rsidRDefault="004507BE">
      <w:pPr>
        <w:rPr>
          <w:lang w:val="en-US"/>
        </w:rPr>
      </w:pPr>
    </w:p>
    <w:p w14:paraId="2AE39278" w14:textId="7776D829" w:rsidR="004507BE" w:rsidRDefault="004507BE">
      <w:pPr>
        <w:rPr>
          <w:lang w:val="en-US"/>
        </w:rPr>
      </w:pPr>
    </w:p>
    <w:p w14:paraId="254FA38B" w14:textId="7B41CEB4" w:rsidR="004507BE" w:rsidRDefault="004507BE">
      <w:pPr>
        <w:rPr>
          <w:lang w:val="en-US"/>
        </w:rPr>
      </w:pPr>
    </w:p>
    <w:p w14:paraId="26A3CCF9" w14:textId="74FB306A" w:rsidR="004507BE" w:rsidRDefault="004507BE">
      <w:pPr>
        <w:rPr>
          <w:lang w:val="en-US"/>
        </w:rPr>
      </w:pPr>
    </w:p>
    <w:p w14:paraId="637D490B" w14:textId="5868129F" w:rsidR="004507BE" w:rsidRDefault="004507BE">
      <w:pPr>
        <w:rPr>
          <w:lang w:val="en-US"/>
        </w:rPr>
      </w:pPr>
    </w:p>
    <w:p w14:paraId="2B9F3F9F" w14:textId="175872C8" w:rsidR="004507BE" w:rsidRDefault="004507BE">
      <w:pPr>
        <w:rPr>
          <w:lang w:val="en-US"/>
        </w:rPr>
      </w:pPr>
    </w:p>
    <w:p w14:paraId="37382917" w14:textId="008D274F" w:rsidR="004507BE" w:rsidRDefault="004507BE">
      <w:pPr>
        <w:rPr>
          <w:lang w:val="en-US"/>
        </w:rPr>
      </w:pPr>
    </w:p>
    <w:p w14:paraId="4229ADE8" w14:textId="54017D90" w:rsidR="004507BE" w:rsidRDefault="004507BE">
      <w:pPr>
        <w:rPr>
          <w:lang w:val="en-US"/>
        </w:rPr>
      </w:pPr>
    </w:p>
    <w:p w14:paraId="583AF246" w14:textId="686D5606" w:rsidR="004507BE" w:rsidRDefault="004507BE">
      <w:pPr>
        <w:rPr>
          <w:lang w:val="en-US"/>
        </w:rPr>
      </w:pPr>
    </w:p>
    <w:p w14:paraId="458A01EA" w14:textId="77777777" w:rsidR="004507BE" w:rsidRDefault="004507BE">
      <w:pPr>
        <w:rPr>
          <w:lang w:val="en-US"/>
        </w:rPr>
      </w:pPr>
    </w:p>
    <w:p w14:paraId="6F3E01A6" w14:textId="469CA00B" w:rsidR="00264F7B" w:rsidRDefault="00206AF1" w:rsidP="004507BE">
      <w:pPr>
        <w:spacing w:line="480" w:lineRule="auto"/>
        <w:ind w:firstLine="720"/>
        <w:jc w:val="both"/>
        <w:rPr>
          <w:lang w:val="en-US"/>
        </w:rPr>
      </w:pPr>
      <w:r>
        <w:rPr>
          <w:lang w:val="en-US"/>
        </w:rPr>
        <w:lastRenderedPageBreak/>
        <w:t>The assessment performed has provided a greater emphasis on different factors which help identify critical aspects that help manage the needs of trauma response counselors. Understanding personal aspects that improve service delivery create a unique environment under which it better clinical diagnosis can be conducted. The development of vicarious trauma is associated with individual-based traits which help define a healthy level of understanding on underlying issues. Individual behavioral and emotional wellbeing describes a highly interactive setting where it is possible to improve the quality of care. Client experiences, especially in a traumatic situation, create a highly integrated environment where the delivery of quality care can be attained.</w:t>
      </w:r>
    </w:p>
    <w:p w14:paraId="2FC1AB39" w14:textId="041CDD5E" w:rsidR="00FE37D0" w:rsidRDefault="00206AF1" w:rsidP="004507BE">
      <w:pPr>
        <w:spacing w:line="480" w:lineRule="auto"/>
        <w:ind w:firstLine="720"/>
        <w:jc w:val="both"/>
        <w:rPr>
          <w:lang w:val="en-US"/>
        </w:rPr>
      </w:pPr>
      <w:r>
        <w:rPr>
          <w:lang w:val="en-US"/>
        </w:rPr>
        <w:t xml:space="preserve">Components of the assessment </w:t>
      </w:r>
    </w:p>
    <w:p w14:paraId="23812505" w14:textId="7AF05377" w:rsidR="00B541F1" w:rsidRPr="00DC5FB1" w:rsidRDefault="00206AF1" w:rsidP="004507BE">
      <w:pPr>
        <w:spacing w:line="480" w:lineRule="auto"/>
        <w:ind w:firstLine="720"/>
        <w:jc w:val="both"/>
        <w:rPr>
          <w:lang w:val="en-US"/>
        </w:rPr>
      </w:pPr>
      <w:r>
        <w:rPr>
          <w:lang w:val="en-US"/>
        </w:rPr>
        <w:t xml:space="preserve">Self-assessment help understands essential aspects that define individual development. The evaluation has provided a strong emphasis on crucial </w:t>
      </w:r>
      <w:r w:rsidR="00A954B6">
        <w:rPr>
          <w:lang w:val="en-US"/>
        </w:rPr>
        <w:t xml:space="preserve">concepts which help understand the underlying risk factors which might influence the development of vicarious trauma. Exposure to traumatic experiences can have a different </w:t>
      </w:r>
      <w:r>
        <w:rPr>
          <w:lang w:val="en-US"/>
        </w:rPr>
        <w:t>influence</w:t>
      </w:r>
      <w:r w:rsidR="00A954B6">
        <w:rPr>
          <w:lang w:val="en-US"/>
        </w:rPr>
        <w:t xml:space="preserve"> on individual wellbeing, especially considering the overall emphasis on improved care. </w:t>
      </w:r>
      <w:r>
        <w:rPr>
          <w:lang w:val="en-US"/>
        </w:rPr>
        <w:t>Supervisees</w:t>
      </w:r>
      <w:r w:rsidR="00A954B6">
        <w:rPr>
          <w:lang w:val="en-US"/>
        </w:rPr>
        <w:t xml:space="preserve"> are likely to be influenced by </w:t>
      </w:r>
      <w:r>
        <w:rPr>
          <w:lang w:val="en-US"/>
        </w:rPr>
        <w:t>client trauma experiences because of minimal experience working in such an environment. A life philosophy is bound to change which create a different perception and attitude towards life and other factors which are associated with individual wellbeing and ability to make informed decisions</w:t>
      </w:r>
      <w:r w:rsidR="00DC5FB1">
        <w:rPr>
          <w:lang w:val="en-US"/>
        </w:rPr>
        <w:t xml:space="preserve"> (</w:t>
      </w:r>
      <w:r w:rsidR="00DC5FB1" w:rsidRPr="00DC5FB1">
        <w:t>Sansbury</w:t>
      </w:r>
      <w:r w:rsidR="00DC5FB1">
        <w:rPr>
          <w:lang w:val="en-US"/>
        </w:rPr>
        <w:t xml:space="preserve"> et al., 2015).</w:t>
      </w:r>
    </w:p>
    <w:p w14:paraId="125B359C" w14:textId="534E6130" w:rsidR="00FE37D0" w:rsidRDefault="00206AF1" w:rsidP="004507BE">
      <w:pPr>
        <w:spacing w:line="480" w:lineRule="auto"/>
        <w:ind w:firstLine="720"/>
        <w:jc w:val="both"/>
        <w:rPr>
          <w:lang w:val="en-US"/>
        </w:rPr>
      </w:pPr>
      <w:r>
        <w:rPr>
          <w:lang w:val="en-US"/>
        </w:rPr>
        <w:t xml:space="preserve">The assessment provides different perspectives under which trauma response counselor can consider in ensuring that there is the development of better factors which improve the level of commitment to professional development. Understanding the different existing personalities create a unique environment under which it is possible to implement better outcomes. Spiritual impoverishment is a crucial component that has been investigated which provide a unique </w:t>
      </w:r>
      <w:r>
        <w:rPr>
          <w:lang w:val="en-US"/>
        </w:rPr>
        <w:lastRenderedPageBreak/>
        <w:t>emphasis on hope, trust, and sense of life which define a unique system under which it is easier to implement. Correctly identify vicarious trauma in a counselor present a strong environment under which there is a more significant commitment to significant changes which help maintain a healthy level of engagement</w:t>
      </w:r>
      <w:r w:rsidR="00DC5FB1">
        <w:rPr>
          <w:lang w:val="en-US"/>
        </w:rPr>
        <w:t xml:space="preserve"> (</w:t>
      </w:r>
      <w:r w:rsidR="00DC5FB1" w:rsidRPr="00DC5FB1">
        <w:t>Sabo, 2008).</w:t>
      </w:r>
    </w:p>
    <w:p w14:paraId="3CFBE0D8" w14:textId="10E5CB9A" w:rsidR="00FE37D0" w:rsidRDefault="00206AF1" w:rsidP="004507BE">
      <w:pPr>
        <w:spacing w:line="480" w:lineRule="auto"/>
        <w:ind w:firstLine="720"/>
        <w:jc w:val="both"/>
        <w:rPr>
          <w:lang w:val="en-US"/>
        </w:rPr>
      </w:pPr>
      <w:r>
        <w:rPr>
          <w:lang w:val="en-US"/>
        </w:rPr>
        <w:t xml:space="preserve">Disruption in self capacities takes into consideration an individual ability to </w:t>
      </w:r>
      <w:r w:rsidR="00D10934">
        <w:rPr>
          <w:lang w:val="en-US"/>
        </w:rPr>
        <w:t>perform</w:t>
      </w:r>
      <w:r>
        <w:rPr>
          <w:lang w:val="en-US"/>
        </w:rPr>
        <w:t xml:space="preserve"> effectively based on the underlying guidelines. Maintaining a tolerant and a positive sense of self-help identify essential aspects which can help create a transformed </w:t>
      </w:r>
      <w:r w:rsidR="00D10934">
        <w:rPr>
          <w:lang w:val="en-US"/>
        </w:rPr>
        <w:t>environment</w:t>
      </w:r>
      <w:r>
        <w:rPr>
          <w:lang w:val="en-US"/>
        </w:rPr>
        <w:t xml:space="preserve"> under which it would be possible to deal with any possible vicarious trauma risk factors. There is a need for an individual to develop a unique system under which there is a strong integration </w:t>
      </w:r>
      <w:r w:rsidR="00D10934">
        <w:rPr>
          <w:lang w:val="en-US"/>
        </w:rPr>
        <w:t>of better outcomes</w:t>
      </w:r>
      <w:r w:rsidR="004507BE">
        <w:rPr>
          <w:lang w:val="en-US"/>
        </w:rPr>
        <w:t xml:space="preserve"> (</w:t>
      </w:r>
      <w:r w:rsidR="004507BE" w:rsidRPr="004507BE">
        <w:t>Sansbury</w:t>
      </w:r>
      <w:r w:rsidR="004507BE">
        <w:rPr>
          <w:lang w:val="en-US"/>
        </w:rPr>
        <w:t xml:space="preserve"> et al., 2015).</w:t>
      </w:r>
      <w:r w:rsidR="00D10934">
        <w:rPr>
          <w:lang w:val="en-US"/>
        </w:rPr>
        <w:t xml:space="preserve"> </w:t>
      </w:r>
      <w:r w:rsidR="004507BE">
        <w:rPr>
          <w:lang w:val="en-US"/>
        </w:rPr>
        <w:t>E</w:t>
      </w:r>
      <w:r w:rsidR="00D10934">
        <w:rPr>
          <w:lang w:val="en-US"/>
        </w:rPr>
        <w:t>go and trauma history are essential aspects that have created a unified system under which it is possible to implement positive outcomes. Counselors must have a unique understanding of the underlying factors which are; likely to influence their ability to perform their duties effectively. Behavior changes are frequent in supervisees, which is detrimental to positive development.</w:t>
      </w:r>
    </w:p>
    <w:p w14:paraId="75283C54" w14:textId="71110B8F" w:rsidR="00D10934" w:rsidRDefault="00206AF1" w:rsidP="004507BE">
      <w:pPr>
        <w:spacing w:line="480" w:lineRule="auto"/>
        <w:ind w:firstLine="720"/>
        <w:jc w:val="both"/>
        <w:rPr>
          <w:lang w:val="en-US"/>
        </w:rPr>
      </w:pPr>
      <w:r>
        <w:rPr>
          <w:lang w:val="en-US"/>
        </w:rPr>
        <w:t xml:space="preserve">Significance of each section </w:t>
      </w:r>
    </w:p>
    <w:p w14:paraId="35F56882" w14:textId="6803356B" w:rsidR="00D10934" w:rsidRPr="00DC5FB1" w:rsidRDefault="00206AF1" w:rsidP="004507BE">
      <w:pPr>
        <w:spacing w:line="480" w:lineRule="auto"/>
        <w:ind w:firstLine="720"/>
        <w:jc w:val="both"/>
        <w:rPr>
          <w:lang w:val="en-US"/>
        </w:rPr>
      </w:pPr>
      <w:r>
        <w:rPr>
          <w:lang w:val="en-US"/>
        </w:rPr>
        <w:t xml:space="preserve">The assessment has included different sections which provide an understanding of various issues which might influence a counselor who is dealing with trauma clients. Disruption of </w:t>
      </w:r>
      <w:r w:rsidR="00DC5FB1">
        <w:rPr>
          <w:lang w:val="en-US"/>
        </w:rPr>
        <w:t>self-capabilities</w:t>
      </w:r>
      <w:r>
        <w:rPr>
          <w:lang w:val="en-US"/>
        </w:rPr>
        <w:t xml:space="preserve"> presents a problematic environment under which it is easier to manage the healthcare needs of clients as well as the growth of counselors. Forming relationships should provide a unique basis under which there is a healthy level of development.</w:t>
      </w:r>
      <w:r w:rsidR="00DC5FB1">
        <w:rPr>
          <w:lang w:val="en-US"/>
        </w:rPr>
        <w:t xml:space="preserve"> However, the relationship should be developed based on professional terms (</w:t>
      </w:r>
      <w:r w:rsidR="00DC5FB1" w:rsidRPr="00DC5FB1">
        <w:t>Sprang</w:t>
      </w:r>
      <w:r w:rsidR="00DC5FB1">
        <w:rPr>
          <w:lang w:val="en-US"/>
        </w:rPr>
        <w:t xml:space="preserve"> et al., 2017).</w:t>
      </w:r>
    </w:p>
    <w:p w14:paraId="2A4568A4" w14:textId="54FE5EF0" w:rsidR="00DC5FB1" w:rsidRDefault="00206AF1" w:rsidP="004507BE">
      <w:pPr>
        <w:spacing w:line="480" w:lineRule="auto"/>
        <w:ind w:firstLine="720"/>
        <w:jc w:val="both"/>
        <w:rPr>
          <w:lang w:val="en-US"/>
        </w:rPr>
      </w:pPr>
      <w:r>
        <w:rPr>
          <w:lang w:val="en-US"/>
        </w:rPr>
        <w:t xml:space="preserve">Ego resources help understand how individual thoughts are likely to influence clinical judgment. Making better decisions in this case help identify fundamental changes which help </w:t>
      </w:r>
      <w:r>
        <w:rPr>
          <w:lang w:val="en-US"/>
        </w:rPr>
        <w:lastRenderedPageBreak/>
        <w:t>maintain a healthy level of engagement. Establishing mature relations with others define a strong system under which it is easier to develop a strong system where it would be possible to improve the level of self-care. Trauma history presents an essential environment where it would be possible to identify crucial elements which help maintain a healthy level of development. Trauma history help understands how an individual background influence care delivery. Behavioral changes have determined how an individual is likely to be influenced by trauma patient experiences. Maintaining a healthy level of development help create a profoundly transformed system where it would be possible to manage care needs (</w:t>
      </w:r>
      <w:r w:rsidRPr="00DC5FB1">
        <w:t>Dunkley</w:t>
      </w:r>
      <w:r>
        <w:rPr>
          <w:lang w:val="en-US"/>
        </w:rPr>
        <w:t xml:space="preserve"> </w:t>
      </w:r>
      <w:r w:rsidRPr="00DC5FB1">
        <w:t>&amp; Whelan,</w:t>
      </w:r>
      <w:r>
        <w:rPr>
          <w:lang w:val="en-US"/>
        </w:rPr>
        <w:t xml:space="preserve"> </w:t>
      </w:r>
      <w:r w:rsidRPr="00DC5FB1">
        <w:t>2006).</w:t>
      </w:r>
    </w:p>
    <w:p w14:paraId="704CAD21" w14:textId="720729E3" w:rsidR="00DC5FB1" w:rsidRDefault="00206AF1" w:rsidP="004507BE">
      <w:pPr>
        <w:spacing w:line="480" w:lineRule="auto"/>
        <w:ind w:firstLine="720"/>
        <w:jc w:val="both"/>
        <w:rPr>
          <w:lang w:val="en-US"/>
        </w:rPr>
      </w:pPr>
      <w:r>
        <w:rPr>
          <w:lang w:val="en-US"/>
        </w:rPr>
        <w:t>Using assessment help identify some factors that affect are delivery and development of vicarious trauma without individual knowledge. Such elements can only be identified when there is a reliable system that helps maintain a higher level of engagement. The assessment focuses on both personal level and professional level factors which help maintain a strong system which helps define a highly specific emphasis on the need to control the development of vicarious trauma.</w:t>
      </w:r>
    </w:p>
    <w:p w14:paraId="16930110" w14:textId="66C3FEC8" w:rsidR="00DC5FB1" w:rsidRDefault="00DC5FB1">
      <w:pPr>
        <w:rPr>
          <w:lang w:val="en-US"/>
        </w:rPr>
      </w:pPr>
    </w:p>
    <w:p w14:paraId="08121D98" w14:textId="3A060904" w:rsidR="004507BE" w:rsidRDefault="004507BE">
      <w:pPr>
        <w:rPr>
          <w:lang w:val="en-US"/>
        </w:rPr>
      </w:pPr>
    </w:p>
    <w:p w14:paraId="1494AC28" w14:textId="269D3BDF" w:rsidR="004507BE" w:rsidRDefault="004507BE">
      <w:pPr>
        <w:rPr>
          <w:lang w:val="en-US"/>
        </w:rPr>
      </w:pPr>
    </w:p>
    <w:p w14:paraId="790E9C78" w14:textId="4095AC38" w:rsidR="004507BE" w:rsidRDefault="004507BE">
      <w:pPr>
        <w:rPr>
          <w:lang w:val="en-US"/>
        </w:rPr>
      </w:pPr>
    </w:p>
    <w:p w14:paraId="48FCA74D" w14:textId="1FAB0F57" w:rsidR="004507BE" w:rsidRDefault="004507BE">
      <w:pPr>
        <w:rPr>
          <w:lang w:val="en-US"/>
        </w:rPr>
      </w:pPr>
    </w:p>
    <w:p w14:paraId="00783255" w14:textId="1E2FA36C" w:rsidR="004507BE" w:rsidRDefault="004507BE">
      <w:pPr>
        <w:rPr>
          <w:lang w:val="en-US"/>
        </w:rPr>
      </w:pPr>
    </w:p>
    <w:p w14:paraId="249D3716" w14:textId="3E570598" w:rsidR="004507BE" w:rsidRDefault="004507BE">
      <w:pPr>
        <w:rPr>
          <w:lang w:val="en-US"/>
        </w:rPr>
      </w:pPr>
    </w:p>
    <w:p w14:paraId="2B7E7C10" w14:textId="2E6A39E5" w:rsidR="004507BE" w:rsidRDefault="004507BE">
      <w:pPr>
        <w:rPr>
          <w:lang w:val="en-US"/>
        </w:rPr>
      </w:pPr>
    </w:p>
    <w:p w14:paraId="3C3BD5FE" w14:textId="5E8D35E8" w:rsidR="004507BE" w:rsidRDefault="004507BE">
      <w:pPr>
        <w:rPr>
          <w:lang w:val="en-US"/>
        </w:rPr>
      </w:pPr>
    </w:p>
    <w:p w14:paraId="6A59EDCE" w14:textId="1704E097" w:rsidR="004507BE" w:rsidRDefault="004507BE">
      <w:pPr>
        <w:rPr>
          <w:lang w:val="en-US"/>
        </w:rPr>
      </w:pPr>
    </w:p>
    <w:p w14:paraId="3128B1C9" w14:textId="013936F4" w:rsidR="004507BE" w:rsidRDefault="004507BE">
      <w:pPr>
        <w:rPr>
          <w:lang w:val="en-US"/>
        </w:rPr>
      </w:pPr>
    </w:p>
    <w:p w14:paraId="0AFDD455" w14:textId="46C7825E" w:rsidR="004507BE" w:rsidRDefault="004507BE">
      <w:pPr>
        <w:rPr>
          <w:lang w:val="en-US"/>
        </w:rPr>
      </w:pPr>
    </w:p>
    <w:p w14:paraId="6EE12C0C" w14:textId="4F63AD10" w:rsidR="004507BE" w:rsidRDefault="004507BE">
      <w:pPr>
        <w:rPr>
          <w:lang w:val="en-US"/>
        </w:rPr>
      </w:pPr>
    </w:p>
    <w:p w14:paraId="3DF31D73" w14:textId="77777777" w:rsidR="004507BE" w:rsidRDefault="004507BE">
      <w:pPr>
        <w:rPr>
          <w:lang w:val="en-US"/>
        </w:rPr>
      </w:pPr>
    </w:p>
    <w:p w14:paraId="4CE150D5" w14:textId="1C82B9C7" w:rsidR="00D10934" w:rsidRDefault="00206AF1">
      <w:pPr>
        <w:rPr>
          <w:lang w:val="en-US"/>
        </w:rPr>
      </w:pPr>
      <w:r>
        <w:rPr>
          <w:lang w:val="en-US"/>
        </w:rPr>
        <w:t xml:space="preserve">References </w:t>
      </w:r>
    </w:p>
    <w:p w14:paraId="5E1DC781" w14:textId="48D689B6" w:rsidR="00DC5FB1" w:rsidRDefault="00206AF1">
      <w:r w:rsidRPr="00DC5FB1">
        <w:t>Sansbury, B. S., Graves, K., &amp; Scott, W. (2015). Managing traumatic stress responses among clinicians: Individual and organizational tools for self-care. </w:t>
      </w:r>
      <w:r w:rsidRPr="00DC5FB1">
        <w:rPr>
          <w:i/>
          <w:iCs/>
        </w:rPr>
        <w:t>Trauma</w:t>
      </w:r>
      <w:r w:rsidRPr="00DC5FB1">
        <w:t>, </w:t>
      </w:r>
      <w:r w:rsidRPr="00DC5FB1">
        <w:rPr>
          <w:i/>
          <w:iCs/>
        </w:rPr>
        <w:t>17</w:t>
      </w:r>
      <w:r w:rsidRPr="00DC5FB1">
        <w:t>(2), 114-122.</w:t>
      </w:r>
    </w:p>
    <w:p w14:paraId="696DEF98" w14:textId="772D4EE9" w:rsidR="00DC5FB1" w:rsidRDefault="00206AF1">
      <w:r w:rsidRPr="00DC5FB1">
        <w:t>Sprang, G., Ross, L., Miller, B. C., Blackshear, K., &amp; Ascienzo, S. (2017). Psychometric properties of the Secondary Traumatic Stress–Informed Organizational Assessment. </w:t>
      </w:r>
      <w:r w:rsidRPr="00DC5FB1">
        <w:rPr>
          <w:i/>
          <w:iCs/>
        </w:rPr>
        <w:t>Traumatology</w:t>
      </w:r>
      <w:r w:rsidRPr="00DC5FB1">
        <w:t>, </w:t>
      </w:r>
      <w:r w:rsidRPr="00DC5FB1">
        <w:rPr>
          <w:i/>
          <w:iCs/>
        </w:rPr>
        <w:t>23</w:t>
      </w:r>
      <w:r w:rsidRPr="00DC5FB1">
        <w:t>(2), 165.</w:t>
      </w:r>
    </w:p>
    <w:p w14:paraId="20392859" w14:textId="712A5C88" w:rsidR="00DC5FB1" w:rsidRDefault="00206AF1">
      <w:r w:rsidRPr="00DC5FB1">
        <w:t>Dunkley, J., &amp; Whelan, T. A. (2006). Vicarious traumatisation: Current status and future directions. </w:t>
      </w:r>
      <w:r w:rsidRPr="00DC5FB1">
        <w:rPr>
          <w:i/>
          <w:iCs/>
        </w:rPr>
        <w:t>British Journal of Guidance &amp; Counselling</w:t>
      </w:r>
      <w:r w:rsidRPr="00DC5FB1">
        <w:t>, </w:t>
      </w:r>
      <w:r w:rsidRPr="00DC5FB1">
        <w:rPr>
          <w:i/>
          <w:iCs/>
        </w:rPr>
        <w:t>34</w:t>
      </w:r>
      <w:r w:rsidRPr="00DC5FB1">
        <w:t>(1), 107-116.</w:t>
      </w:r>
    </w:p>
    <w:p w14:paraId="012CC48C" w14:textId="6482D038" w:rsidR="00DC5FB1" w:rsidRPr="00B541F1" w:rsidRDefault="00206AF1">
      <w:pPr>
        <w:rPr>
          <w:lang w:val="en-US"/>
        </w:rPr>
      </w:pPr>
      <w:r w:rsidRPr="00DC5FB1">
        <w:t>Sabo, B. M. (2008). Adverse psychosocial consequences: Compassion fatigue, burnout and vicarious traumatization: Are nurses who provide palliative and hematological cancer care vulnerable?. </w:t>
      </w:r>
      <w:r w:rsidRPr="00DC5FB1">
        <w:rPr>
          <w:i/>
          <w:iCs/>
        </w:rPr>
        <w:t>Indian Journal of Palliative Care</w:t>
      </w:r>
      <w:r w:rsidRPr="00DC5FB1">
        <w:t>, </w:t>
      </w:r>
      <w:r w:rsidRPr="00DC5FB1">
        <w:rPr>
          <w:i/>
          <w:iCs/>
        </w:rPr>
        <w:t>14</w:t>
      </w:r>
      <w:r w:rsidRPr="00DC5FB1">
        <w:t>(1), 23.</w:t>
      </w:r>
    </w:p>
    <w:sectPr w:rsidR="00DC5FB1" w:rsidRPr="00B541F1" w:rsidSect="004507B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211177" w14:textId="77777777" w:rsidR="009C3C79" w:rsidRDefault="009C3C79">
      <w:pPr>
        <w:spacing w:after="0" w:line="240" w:lineRule="auto"/>
      </w:pPr>
      <w:r>
        <w:separator/>
      </w:r>
    </w:p>
  </w:endnote>
  <w:endnote w:type="continuationSeparator" w:id="0">
    <w:p w14:paraId="092E0AA7" w14:textId="77777777" w:rsidR="009C3C79" w:rsidRDefault="009C3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A2A4CA" w14:textId="77777777" w:rsidR="009C3C79" w:rsidRDefault="009C3C79">
      <w:pPr>
        <w:spacing w:after="0" w:line="240" w:lineRule="auto"/>
      </w:pPr>
      <w:r>
        <w:separator/>
      </w:r>
    </w:p>
  </w:footnote>
  <w:footnote w:type="continuationSeparator" w:id="0">
    <w:p w14:paraId="7D9157E2" w14:textId="77777777" w:rsidR="009C3C79" w:rsidRDefault="009C3C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22182A" w14:textId="0B1E00DF" w:rsidR="004507BE" w:rsidRDefault="00206AF1">
    <w:pPr>
      <w:pStyle w:val="Header"/>
      <w:jc w:val="right"/>
    </w:pPr>
    <w:r w:rsidRPr="004507BE">
      <w:t>VIC</w:t>
    </w:r>
    <w:r w:rsidRPr="004507BE">
      <w:rPr>
        <w:lang w:val="en-US"/>
      </w:rPr>
      <w:t>A</w:t>
    </w:r>
    <w:r w:rsidRPr="004507BE">
      <w:t>RIOUS TR</w:t>
    </w:r>
    <w:r w:rsidRPr="004507BE">
      <w:rPr>
        <w:lang w:val="en-US"/>
      </w:rPr>
      <w:t>A</w:t>
    </w:r>
    <w:r w:rsidRPr="004507BE">
      <w:t>UM</w:t>
    </w:r>
    <w:r w:rsidRPr="004507BE">
      <w:rPr>
        <w:lang w:val="en-US"/>
      </w:rPr>
      <w:t>A</w:t>
    </w:r>
    <w:r w:rsidRPr="004507BE">
      <w:t xml:space="preserve"> SELF-ASSESSMENT </w:t>
    </w:r>
    <w:r>
      <w:rPr>
        <w:lang w:val="en-US"/>
      </w:rPr>
      <w:t xml:space="preserve">                                                                   </w:t>
    </w:r>
    <w:sdt>
      <w:sdtPr>
        <w:id w:val="-11398023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EFC72F7" w14:textId="77777777" w:rsidR="004507BE" w:rsidRDefault="004507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1F08B7" w14:textId="38832E6A" w:rsidR="004507BE" w:rsidRDefault="00206AF1">
    <w:pPr>
      <w:pStyle w:val="Header"/>
      <w:jc w:val="right"/>
    </w:pPr>
    <w:r>
      <w:rPr>
        <w:lang w:val="en-US"/>
      </w:rPr>
      <w:t xml:space="preserve">Running head: </w:t>
    </w:r>
    <w:r w:rsidRPr="004507BE">
      <w:t>VIC</w:t>
    </w:r>
    <w:r>
      <w:rPr>
        <w:lang w:val="en-US"/>
      </w:rPr>
      <w:t>A</w:t>
    </w:r>
    <w:r w:rsidRPr="004507BE">
      <w:t>RIOUS TR</w:t>
    </w:r>
    <w:r>
      <w:rPr>
        <w:lang w:val="en-US"/>
      </w:rPr>
      <w:t>A</w:t>
    </w:r>
    <w:r w:rsidRPr="004507BE">
      <w:t>UM</w:t>
    </w:r>
    <w:r>
      <w:rPr>
        <w:lang w:val="en-US"/>
      </w:rPr>
      <w:t>A</w:t>
    </w:r>
    <w:r w:rsidRPr="004507BE">
      <w:t xml:space="preserve"> SELF-ASSESSMENT </w:t>
    </w:r>
    <w:sdt>
      <w:sdtPr>
        <w:id w:val="-2006430784"/>
        <w:docPartObj>
          <w:docPartGallery w:val="Page Numbers (Top of Page)"/>
          <w:docPartUnique/>
        </w:docPartObj>
      </w:sdtPr>
      <w:sdtEndPr>
        <w:rPr>
          <w:noProof/>
        </w:rPr>
      </w:sdtEndPr>
      <w:sdtContent>
        <w:r>
          <w:rPr>
            <w:lang w:val="en-US"/>
          </w:rPr>
          <w:t xml:space="preserve">                                            </w:t>
        </w:r>
        <w:r>
          <w:fldChar w:fldCharType="begin"/>
        </w:r>
        <w:r>
          <w:instrText xml:space="preserve"> PAGE   \* MERGEFORMAT </w:instrText>
        </w:r>
        <w:r>
          <w:fldChar w:fldCharType="separate"/>
        </w:r>
        <w:r>
          <w:rPr>
            <w:noProof/>
          </w:rPr>
          <w:t>2</w:t>
        </w:r>
        <w:r>
          <w:rPr>
            <w:noProof/>
          </w:rPr>
          <w:fldChar w:fldCharType="end"/>
        </w:r>
      </w:sdtContent>
    </w:sdt>
  </w:p>
  <w:p w14:paraId="75B14D1C" w14:textId="77777777" w:rsidR="004507BE" w:rsidRDefault="004507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0NjY0NTE1MLK0NLNQ0lEKTi0uzszPAykwrAUAs0h5zSwAAAA="/>
  </w:docVars>
  <w:rsids>
    <w:rsidRoot w:val="00B541F1"/>
    <w:rsid w:val="00206AF1"/>
    <w:rsid w:val="00264F7B"/>
    <w:rsid w:val="002757B7"/>
    <w:rsid w:val="004507BE"/>
    <w:rsid w:val="005A31F8"/>
    <w:rsid w:val="009C3C79"/>
    <w:rsid w:val="00A954B6"/>
    <w:rsid w:val="00B541F1"/>
    <w:rsid w:val="00CA2B86"/>
    <w:rsid w:val="00D10934"/>
    <w:rsid w:val="00DC5FB1"/>
    <w:rsid w:val="00FE37D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264F03-A45B-4ED4-8FDE-DBAB51544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07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07BE"/>
  </w:style>
  <w:style w:type="paragraph" w:styleId="Footer">
    <w:name w:val="footer"/>
    <w:basedOn w:val="Normal"/>
    <w:link w:val="FooterChar"/>
    <w:uiPriority w:val="99"/>
    <w:unhideWhenUsed/>
    <w:rsid w:val="004507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905</Words>
  <Characters>5161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2019-07-09T08:06:00Z</dcterms:created>
  <dcterms:modified xsi:type="dcterms:W3CDTF">2019-07-09T08:06:00Z</dcterms:modified>
</cp:coreProperties>
</file>